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44" w:rsidRPr="00897944" w:rsidRDefault="00897944" w:rsidP="00897944">
      <w:pPr>
        <w:pStyle w:val="ListParagraph"/>
        <w:numPr>
          <w:ilvl w:val="0"/>
          <w:numId w:val="1"/>
        </w:numPr>
        <w:spacing w:before="120" w:after="120"/>
        <w:rPr>
          <w:rFonts w:ascii="Times New Roman" w:hAnsi="Times New Roman" w:cs="Times New Roman"/>
        </w:rPr>
      </w:pPr>
      <w:r w:rsidRPr="00897944">
        <w:rPr>
          <w:rFonts w:ascii="Times New Roman" w:hAnsi="Times New Roman" w:cs="Times New Roman"/>
        </w:rPr>
        <w:t xml:space="preserve">Here we present a three year dataset of simultaneous measurements made at ~50 stations along the western Antarctic Peninsula (WAP) continental shelf in midsummer (January) 2012-14. </w:t>
      </w:r>
    </w:p>
    <w:p w:rsidR="00897944" w:rsidRPr="00897944" w:rsidRDefault="00897944" w:rsidP="00897944">
      <w:pPr>
        <w:pStyle w:val="ListParagraph"/>
        <w:numPr>
          <w:ilvl w:val="0"/>
          <w:numId w:val="1"/>
        </w:numPr>
        <w:spacing w:before="120" w:after="120"/>
        <w:rPr>
          <w:rFonts w:ascii="Times New Roman" w:hAnsi="Times New Roman" w:cs="Times New Roman"/>
        </w:rPr>
      </w:pPr>
      <w:r w:rsidRPr="00897944">
        <w:rPr>
          <w:rFonts w:ascii="Times New Roman" w:hAnsi="Times New Roman" w:cs="Times New Roman"/>
        </w:rPr>
        <w:t xml:space="preserve">This is especially true in remote regions such as polar marginal ice zones. </w:t>
      </w:r>
    </w:p>
    <w:p w:rsidR="00897944" w:rsidRPr="00897944" w:rsidRDefault="00897944" w:rsidP="00897944">
      <w:pPr>
        <w:pStyle w:val="ListParagraph"/>
        <w:numPr>
          <w:ilvl w:val="0"/>
          <w:numId w:val="1"/>
        </w:numPr>
        <w:spacing w:before="120" w:after="120"/>
        <w:rPr>
          <w:rFonts w:ascii="Times New Roman" w:hAnsi="Times New Roman" w:cs="Times New Roman"/>
        </w:rPr>
      </w:pPr>
      <w:r w:rsidRPr="00897944">
        <w:rPr>
          <w:rFonts w:ascii="Times New Roman" w:hAnsi="Times New Roman" w:cs="Times New Roman"/>
        </w:rPr>
        <w:t xml:space="preserve">New P and </w:t>
      </w:r>
      <w:proofErr w:type="gramStart"/>
      <w:r w:rsidRPr="00897944">
        <w:rPr>
          <w:rFonts w:ascii="Times New Roman" w:hAnsi="Times New Roman" w:cs="Times New Roman"/>
        </w:rPr>
        <w:t>NCP(</w:t>
      </w:r>
      <w:proofErr w:type="gramEnd"/>
      <w:r w:rsidRPr="00897944">
        <w:rPr>
          <w:rFonts w:ascii="Times New Roman" w:hAnsi="Times New Roman" w:cs="Times New Roman"/>
        </w:rPr>
        <w:t>O</w:t>
      </w:r>
      <w:r w:rsidRPr="00897944">
        <w:rPr>
          <w:rFonts w:ascii="Times New Roman" w:hAnsi="Times New Roman" w:cs="Times New Roman"/>
          <w:vertAlign w:val="subscript"/>
        </w:rPr>
        <w:t>2</w:t>
      </w:r>
      <w:r w:rsidRPr="00897944">
        <w:rPr>
          <w:rFonts w:ascii="Times New Roman" w:hAnsi="Times New Roman" w:cs="Times New Roman"/>
        </w:rPr>
        <w:t xml:space="preserve">) did not differ significantly. </w:t>
      </w:r>
    </w:p>
    <w:p w:rsidR="00897944" w:rsidRPr="00897944" w:rsidRDefault="00897944" w:rsidP="00897944">
      <w:pPr>
        <w:pStyle w:val="ListParagraph"/>
        <w:numPr>
          <w:ilvl w:val="0"/>
          <w:numId w:val="1"/>
        </w:numPr>
        <w:spacing w:before="120" w:after="120"/>
        <w:rPr>
          <w:rFonts w:ascii="Times New Roman" w:hAnsi="Times New Roman" w:cs="Times New Roman"/>
        </w:rPr>
      </w:pPr>
      <w:r w:rsidRPr="00897944">
        <w:rPr>
          <w:rFonts w:ascii="Times New Roman" w:hAnsi="Times New Roman" w:cs="Times New Roman"/>
        </w:rPr>
        <w:t xml:space="preserve">Net seasonal scale changes in water column inventories (0-150 m) of nitrate and iodide were also estimated at the same stations. </w:t>
      </w:r>
    </w:p>
    <w:p w:rsidR="00897944" w:rsidRPr="00897944" w:rsidRDefault="00897944" w:rsidP="00897944">
      <w:pPr>
        <w:pStyle w:val="ListParagraph"/>
        <w:numPr>
          <w:ilvl w:val="0"/>
          <w:numId w:val="1"/>
        </w:numPr>
        <w:spacing w:before="120" w:after="120"/>
        <w:rPr>
          <w:rFonts w:ascii="Times New Roman" w:hAnsi="Times New Roman" w:cs="Times New Roman"/>
        </w:rPr>
      </w:pPr>
      <w:r w:rsidRPr="00897944">
        <w:rPr>
          <w:rFonts w:ascii="Times New Roman" w:hAnsi="Times New Roman" w:cs="Times New Roman"/>
        </w:rPr>
        <w:t xml:space="preserve">New production (New P, the rate of net primary production (NPP) supported by exogenously supplied limiting nutrients) and net community production (NCP, gross primary production not consumed by community respiration) are closely related but mechanistically distinct processes. </w:t>
      </w:r>
    </w:p>
    <w:p w:rsidR="00897944" w:rsidRPr="00897944" w:rsidRDefault="00897944" w:rsidP="00897944">
      <w:pPr>
        <w:pStyle w:val="ListParagraph"/>
        <w:numPr>
          <w:ilvl w:val="0"/>
          <w:numId w:val="1"/>
        </w:numPr>
        <w:spacing w:before="120" w:after="120"/>
        <w:rPr>
          <w:rFonts w:ascii="Times New Roman" w:hAnsi="Times New Roman" w:cs="Times New Roman"/>
        </w:rPr>
      </w:pPr>
      <w:r w:rsidRPr="00897944">
        <w:rPr>
          <w:rFonts w:ascii="Times New Roman" w:hAnsi="Times New Roman" w:cs="Times New Roman"/>
        </w:rPr>
        <w:t xml:space="preserve">A major uncertainty in the relative magnitude of the inventory estimates is specifying the start of the growing season following sea ice retreat. </w:t>
      </w:r>
    </w:p>
    <w:p w:rsidR="00897944" w:rsidRPr="00897944" w:rsidRDefault="00897944" w:rsidP="00897944">
      <w:pPr>
        <w:pStyle w:val="ListParagraph"/>
        <w:numPr>
          <w:ilvl w:val="0"/>
          <w:numId w:val="1"/>
        </w:numPr>
        <w:spacing w:before="120" w:after="120"/>
        <w:rPr>
          <w:rFonts w:ascii="Times New Roman" w:hAnsi="Times New Roman" w:cs="Times New Roman"/>
        </w:rPr>
      </w:pPr>
      <w:r w:rsidRPr="00897944">
        <w:rPr>
          <w:rFonts w:ascii="Times New Roman" w:hAnsi="Times New Roman" w:cs="Times New Roman"/>
        </w:rPr>
        <w:t xml:space="preserve">New P and </w:t>
      </w:r>
      <w:proofErr w:type="gramStart"/>
      <w:r w:rsidRPr="00897944">
        <w:rPr>
          <w:rFonts w:ascii="Times New Roman" w:hAnsi="Times New Roman" w:cs="Times New Roman"/>
        </w:rPr>
        <w:t>NCP(</w:t>
      </w:r>
      <w:proofErr w:type="gramEnd"/>
      <w:r w:rsidRPr="00897944">
        <w:rPr>
          <w:rFonts w:ascii="Times New Roman" w:hAnsi="Times New Roman" w:cs="Times New Roman"/>
        </w:rPr>
        <w:t>O</w:t>
      </w:r>
      <w:r w:rsidRPr="00897944">
        <w:rPr>
          <w:rFonts w:ascii="Times New Roman" w:hAnsi="Times New Roman" w:cs="Times New Roman"/>
          <w:vertAlign w:val="subscript"/>
        </w:rPr>
        <w:t>2</w:t>
      </w:r>
      <w:r w:rsidRPr="00897944">
        <w:rPr>
          <w:rFonts w:ascii="Times New Roman" w:hAnsi="Times New Roman" w:cs="Times New Roman"/>
        </w:rPr>
        <w:t xml:space="preserve">) were significantly greater than sinking particle export from Thorium-234. </w:t>
      </w:r>
    </w:p>
    <w:p w:rsidR="00897944" w:rsidRPr="00897944" w:rsidRDefault="00897944" w:rsidP="00897944">
      <w:pPr>
        <w:pStyle w:val="ListParagraph"/>
        <w:numPr>
          <w:ilvl w:val="0"/>
          <w:numId w:val="1"/>
        </w:numPr>
        <w:spacing w:before="120" w:after="120"/>
        <w:rPr>
          <w:rFonts w:ascii="Times New Roman" w:hAnsi="Times New Roman" w:cs="Times New Roman"/>
        </w:rPr>
      </w:pPr>
      <w:r w:rsidRPr="00897944">
        <w:rPr>
          <w:rFonts w:ascii="Times New Roman" w:hAnsi="Times New Roman" w:cs="Times New Roman"/>
        </w:rPr>
        <w:t xml:space="preserve">The relationships, relative magnitudes and variability of New P (from </w:t>
      </w:r>
      <w:r w:rsidRPr="00897944">
        <w:rPr>
          <w:rFonts w:ascii="Times New Roman" w:hAnsi="Times New Roman" w:cs="Times New Roman"/>
          <w:vertAlign w:val="superscript"/>
        </w:rPr>
        <w:t>15</w:t>
      </w:r>
      <w:r w:rsidRPr="00897944">
        <w:rPr>
          <w:rFonts w:ascii="Times New Roman" w:hAnsi="Times New Roman" w:cs="Times New Roman"/>
        </w:rPr>
        <w:t xml:space="preserve"> NO</w:t>
      </w:r>
      <w:r w:rsidRPr="00897944">
        <w:rPr>
          <w:rFonts w:ascii="Times New Roman" w:hAnsi="Times New Roman" w:cs="Times New Roman"/>
          <w:vertAlign w:val="subscript"/>
        </w:rPr>
        <w:t>3</w:t>
      </w:r>
      <w:r w:rsidRPr="00897944">
        <w:rPr>
          <w:rFonts w:ascii="Times New Roman" w:hAnsi="Times New Roman" w:cs="Times New Roman"/>
          <w:vertAlign w:val="superscript"/>
        </w:rPr>
        <w:t>-</w:t>
      </w:r>
      <w:r w:rsidRPr="00897944">
        <w:rPr>
          <w:rFonts w:ascii="Times New Roman" w:hAnsi="Times New Roman" w:cs="Times New Roman"/>
        </w:rPr>
        <w:t xml:space="preserve"> uptake), O</w:t>
      </w:r>
      <w:r w:rsidRPr="00897944">
        <w:rPr>
          <w:rFonts w:ascii="Times New Roman" w:hAnsi="Times New Roman" w:cs="Times New Roman"/>
          <w:vertAlign w:val="subscript"/>
        </w:rPr>
        <w:t>2</w:t>
      </w:r>
      <w:proofErr w:type="gramStart"/>
      <w:r w:rsidRPr="00897944">
        <w:rPr>
          <w:rFonts w:ascii="Times New Roman" w:hAnsi="Times New Roman" w:cs="Times New Roman"/>
        </w:rPr>
        <w:t>:Argon</w:t>
      </w:r>
      <w:proofErr w:type="gramEnd"/>
      <w:r w:rsidRPr="00897944">
        <w:rPr>
          <w:rFonts w:ascii="Times New Roman" w:hAnsi="Times New Roman" w:cs="Times New Roman"/>
        </w:rPr>
        <w:t xml:space="preserve">-based NCP and sinking particle export (based on the </w:t>
      </w:r>
      <w:r w:rsidRPr="00897944">
        <w:rPr>
          <w:rFonts w:ascii="Times New Roman" w:hAnsi="Times New Roman" w:cs="Times New Roman"/>
          <w:vertAlign w:val="superscript"/>
        </w:rPr>
        <w:t>238</w:t>
      </w:r>
      <w:r w:rsidRPr="00897944">
        <w:rPr>
          <w:rFonts w:ascii="Times New Roman" w:hAnsi="Times New Roman" w:cs="Times New Roman"/>
        </w:rPr>
        <w:t>U:</w:t>
      </w:r>
      <w:r w:rsidRPr="00897944">
        <w:rPr>
          <w:rFonts w:ascii="Times New Roman" w:hAnsi="Times New Roman" w:cs="Times New Roman"/>
          <w:vertAlign w:val="superscript"/>
        </w:rPr>
        <w:t>234</w:t>
      </w:r>
      <w:r w:rsidRPr="00897944">
        <w:rPr>
          <w:rFonts w:ascii="Times New Roman" w:hAnsi="Times New Roman" w:cs="Times New Roman"/>
        </w:rPr>
        <w:t xml:space="preserve">Th disequilibrium) are increasingly well documented but still not clearly understood. </w:t>
      </w:r>
    </w:p>
    <w:p w:rsidR="00897944" w:rsidRPr="00897944" w:rsidRDefault="00897944" w:rsidP="00897944">
      <w:pPr>
        <w:pStyle w:val="ListParagraph"/>
        <w:numPr>
          <w:ilvl w:val="0"/>
          <w:numId w:val="1"/>
        </w:numPr>
        <w:spacing w:before="120" w:after="120"/>
        <w:rPr>
          <w:rFonts w:ascii="Times New Roman" w:hAnsi="Times New Roman" w:cs="Times New Roman"/>
        </w:rPr>
      </w:pPr>
      <w:r w:rsidRPr="00897944">
        <w:rPr>
          <w:rFonts w:ascii="Times New Roman" w:hAnsi="Times New Roman" w:cs="Times New Roman"/>
        </w:rPr>
        <w:t xml:space="preserve">We suggest this is a persistent and systematic imbalance and that other processes such as vertical mixing and advection of suspended particles are important export pathways. </w:t>
      </w:r>
    </w:p>
    <w:p w:rsidR="00897944" w:rsidRPr="00897944" w:rsidRDefault="00897944" w:rsidP="00897944">
      <w:pPr>
        <w:pStyle w:val="ListParagraph"/>
        <w:numPr>
          <w:ilvl w:val="0"/>
          <w:numId w:val="1"/>
        </w:numPr>
        <w:spacing w:before="120" w:after="120"/>
        <w:rPr>
          <w:rFonts w:ascii="Times New Roman" w:hAnsi="Times New Roman" w:cs="Times New Roman"/>
        </w:rPr>
      </w:pPr>
      <w:r>
        <w:rPr>
          <w:rFonts w:ascii="Times New Roman" w:hAnsi="Times New Roman" w:cs="Times New Roman"/>
        </w:rPr>
        <w:t>T</w:t>
      </w:r>
      <w:r w:rsidRPr="00897944">
        <w:rPr>
          <w:rFonts w:ascii="Times New Roman" w:hAnsi="Times New Roman" w:cs="Times New Roman"/>
        </w:rPr>
        <w:t xml:space="preserve">hey set the carbon balance in the upper ocean, and define an upper limit for export from the system. </w:t>
      </w:r>
    </w:p>
    <w:p w:rsidR="00897944" w:rsidRPr="00897944" w:rsidRDefault="00897944" w:rsidP="00897944">
      <w:pPr>
        <w:pStyle w:val="ListParagraph"/>
        <w:numPr>
          <w:ilvl w:val="0"/>
          <w:numId w:val="1"/>
        </w:numPr>
        <w:spacing w:before="120" w:after="120"/>
        <w:rPr>
          <w:rFonts w:ascii="Times New Roman" w:hAnsi="Times New Roman" w:cs="Times New Roman"/>
        </w:rPr>
      </w:pPr>
      <w:r w:rsidRPr="00897944">
        <w:rPr>
          <w:rFonts w:ascii="Times New Roman" w:hAnsi="Times New Roman" w:cs="Times New Roman"/>
        </w:rPr>
        <w:t xml:space="preserve">The average daily rates based on inventory changes exceeded the shorter-term rate measurements. </w:t>
      </w:r>
    </w:p>
    <w:p w:rsidR="00897944" w:rsidRPr="00897944" w:rsidRDefault="00897944" w:rsidP="00897944">
      <w:pPr>
        <w:pStyle w:val="ListParagraph"/>
        <w:numPr>
          <w:ilvl w:val="0"/>
          <w:numId w:val="1"/>
        </w:numPr>
        <w:spacing w:before="120" w:after="120"/>
        <w:rPr>
          <w:rFonts w:ascii="Times New Roman" w:hAnsi="Times New Roman" w:cs="Times New Roman"/>
        </w:rPr>
      </w:pPr>
      <w:r w:rsidRPr="00897944">
        <w:rPr>
          <w:rFonts w:ascii="Times New Roman" w:hAnsi="Times New Roman" w:cs="Times New Roman"/>
        </w:rPr>
        <w:t xml:space="preserve">New P and </w:t>
      </w:r>
      <w:proofErr w:type="gramStart"/>
      <w:r w:rsidRPr="00897944">
        <w:rPr>
          <w:rFonts w:ascii="Times New Roman" w:hAnsi="Times New Roman" w:cs="Times New Roman"/>
        </w:rPr>
        <w:t>NCP(</w:t>
      </w:r>
      <w:proofErr w:type="gramEnd"/>
      <w:r w:rsidRPr="00897944">
        <w:rPr>
          <w:rFonts w:ascii="Times New Roman" w:hAnsi="Times New Roman" w:cs="Times New Roman"/>
        </w:rPr>
        <w:t>O</w:t>
      </w:r>
      <w:r w:rsidRPr="00897944">
        <w:rPr>
          <w:rFonts w:ascii="Times New Roman" w:hAnsi="Times New Roman" w:cs="Times New Roman"/>
          <w:vertAlign w:val="subscript"/>
        </w:rPr>
        <w:t>2</w:t>
      </w:r>
      <w:r w:rsidRPr="00897944">
        <w:rPr>
          <w:rFonts w:ascii="Times New Roman" w:hAnsi="Times New Roman" w:cs="Times New Roman"/>
        </w:rPr>
        <w:t xml:space="preserve">) were significantly greater than sinking particle export from Thorium-234. </w:t>
      </w:r>
    </w:p>
    <w:p w:rsidR="00A037BA" w:rsidRDefault="00A037BA">
      <w:bookmarkStart w:id="0" w:name="_GoBack"/>
      <w:bookmarkEnd w:id="0"/>
    </w:p>
    <w:sectPr w:rsidR="00A0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E37"/>
    <w:multiLevelType w:val="hybridMultilevel"/>
    <w:tmpl w:val="CBF8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44"/>
    <w:rsid w:val="00897944"/>
    <w:rsid w:val="00A0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F4FC"/>
  <w15:chartTrackingRefBased/>
  <w15:docId w15:val="{F3006023-A50C-457A-A89E-E42A6005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4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2018-03-08T16:13:00Z</dcterms:created>
  <dcterms:modified xsi:type="dcterms:W3CDTF">2018-03-08T16:15:00Z</dcterms:modified>
</cp:coreProperties>
</file>